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9699" w14:textId="77777777" w:rsidR="00216586" w:rsidRDefault="00216586">
      <w:pPr>
        <w:rPr>
          <w:b/>
          <w:bCs/>
          <w:sz w:val="28"/>
          <w:szCs w:val="28"/>
        </w:rPr>
      </w:pPr>
      <w:r w:rsidRPr="00216586">
        <w:rPr>
          <w:b/>
          <w:bCs/>
          <w:sz w:val="28"/>
          <w:szCs w:val="28"/>
          <w:highlight w:val="yellow"/>
        </w:rPr>
        <w:t>DRAFT</w:t>
      </w:r>
    </w:p>
    <w:p w14:paraId="0D1D4E99" w14:textId="0725A827" w:rsidR="00553C35" w:rsidRDefault="00E0125D">
      <w:pPr>
        <w:rPr>
          <w:b/>
          <w:bCs/>
          <w:sz w:val="28"/>
          <w:szCs w:val="28"/>
        </w:rPr>
      </w:pPr>
      <w:r w:rsidRPr="000F31ED">
        <w:rPr>
          <w:b/>
          <w:bCs/>
          <w:sz w:val="28"/>
          <w:szCs w:val="28"/>
        </w:rPr>
        <w:t>ESPP input to Fertilisers Expert Group Ad-How Meeting of 8</w:t>
      </w:r>
      <w:r w:rsidRPr="000F31ED">
        <w:rPr>
          <w:b/>
          <w:bCs/>
          <w:sz w:val="28"/>
          <w:szCs w:val="28"/>
          <w:vertAlign w:val="superscript"/>
        </w:rPr>
        <w:t>th</w:t>
      </w:r>
      <w:r w:rsidRPr="000F31ED">
        <w:rPr>
          <w:b/>
          <w:bCs/>
          <w:sz w:val="28"/>
          <w:szCs w:val="28"/>
        </w:rPr>
        <w:t xml:space="preserve"> December 2022 on ABPs</w:t>
      </w:r>
    </w:p>
    <w:p w14:paraId="14A9C518" w14:textId="01CBBF5A" w:rsidR="00D07118" w:rsidRDefault="00D07118" w:rsidP="00216586">
      <w:pPr>
        <w:rPr>
          <w:i/>
          <w:iCs/>
          <w:lang w:eastAsia="en-GB"/>
        </w:rPr>
      </w:pPr>
      <w:r w:rsidRPr="00D07118">
        <w:rPr>
          <w:i/>
          <w:iCs/>
          <w:lang w:eastAsia="en-GB"/>
        </w:rPr>
        <w:t xml:space="preserve">The members of the EU Fertilisers Expert Group (which includes ESPP) are consulted by DG GROW (deadline Friday 2nd December 2022) on proposed amendment of the EU Fertilising Products Regulation CMC10 to allow use of certain Animal By-Products, as proposed by DG SANTE in the public consultation (closed 24/10/22 </w:t>
      </w:r>
      <w:hyperlink r:id="rId8" w:history="1">
        <w:r w:rsidRPr="00D07118">
          <w:rPr>
            <w:rStyle w:val="Lienhypertexte"/>
            <w:i/>
            <w:iCs/>
            <w:lang w:eastAsia="en-GB"/>
          </w:rPr>
          <w:t>h</w:t>
        </w:r>
        <w:r w:rsidRPr="00D07118">
          <w:rPr>
            <w:rStyle w:val="Lienhypertexte"/>
            <w:i/>
            <w:iCs/>
            <w:lang w:eastAsia="en-GB"/>
          </w:rPr>
          <w:t>e</w:t>
        </w:r>
        <w:r w:rsidRPr="00D07118">
          <w:rPr>
            <w:rStyle w:val="Lienhypertexte"/>
            <w:i/>
            <w:iCs/>
            <w:lang w:eastAsia="en-GB"/>
          </w:rPr>
          <w:t>re</w:t>
        </w:r>
      </w:hyperlink>
      <w:r w:rsidRPr="00D07118">
        <w:rPr>
          <w:i/>
          <w:iCs/>
          <w:lang w:eastAsia="en-GB"/>
        </w:rPr>
        <w:t>)</w:t>
      </w:r>
    </w:p>
    <w:p w14:paraId="310BAD65" w14:textId="2DB1AF95" w:rsidR="00216586" w:rsidRDefault="00216586" w:rsidP="00216586">
      <w:pPr>
        <w:rPr>
          <w:i/>
          <w:iCs/>
          <w:lang w:eastAsia="en-GB"/>
        </w:rPr>
      </w:pPr>
      <w:r w:rsidRPr="00216586">
        <w:rPr>
          <w:i/>
          <w:iCs/>
          <w:lang w:eastAsia="en-GB"/>
        </w:rPr>
        <w:t xml:space="preserve">DG GROW’s explanatory note and proposed amendment of CMC10 are here: </w:t>
      </w:r>
      <w:hyperlink r:id="rId9" w:history="1">
        <w:r w:rsidRPr="00216586">
          <w:rPr>
            <w:rStyle w:val="Lienhypertexte"/>
            <w:i/>
            <w:iCs/>
            <w:lang w:eastAsia="en-GB"/>
          </w:rPr>
          <w:t>https://circabc.europa.eu/ui/group/36ec94c7-575b-44dc-a6e9-4ace02907f2f/library/47826cda-67f7-4ad8-bf47-ff08df28fa91</w:t>
        </w:r>
      </w:hyperlink>
      <w:r w:rsidRPr="00216586">
        <w:rPr>
          <w:i/>
          <w:iCs/>
          <w:lang w:eastAsia="en-GB"/>
        </w:rPr>
        <w:t xml:space="preserve"> </w:t>
      </w:r>
    </w:p>
    <w:p w14:paraId="0900C063" w14:textId="52A4A406" w:rsidR="00216586" w:rsidRDefault="00216586">
      <w:pPr>
        <w:rPr>
          <w:i/>
          <w:iCs/>
          <w:lang w:eastAsia="en-GB"/>
        </w:rPr>
      </w:pPr>
      <w:r>
        <w:rPr>
          <w:i/>
          <w:iCs/>
          <w:lang w:eastAsia="en-GB"/>
        </w:rPr>
        <w:t>Below are ESPP’s proposed comments, for input before submission</w:t>
      </w:r>
    </w:p>
    <w:p w14:paraId="7BABD96B" w14:textId="0AC0CF64" w:rsidR="00140DEE" w:rsidRDefault="00140DEE" w:rsidP="000F31ED">
      <w:pPr>
        <w:pStyle w:val="Titre1"/>
      </w:pPr>
      <w:r>
        <w:t>Cat1 ABP phosphorus recycling</w:t>
      </w:r>
    </w:p>
    <w:p w14:paraId="513F1E4D" w14:textId="380CC72A" w:rsidR="00140DEE" w:rsidRDefault="00140DEE" w:rsidP="00140DEE">
      <w:r>
        <w:t xml:space="preserve">ESPP welcomes that DG GROW/F2 situates this </w:t>
      </w:r>
      <w:r w:rsidR="00C3079D">
        <w:t>ad-hoc FEG meeting</w:t>
      </w:r>
      <w:r>
        <w:t xml:space="preserve"> in the “</w:t>
      </w:r>
      <w:r w:rsidRPr="00140DEE">
        <w:rPr>
          <w:i/>
          <w:iCs/>
        </w:rPr>
        <w:t>ever more pressing imperative of facilitating market access for effective and safe fertilisers produced from green and circular alternatives to natural gas and mined raw materials</w:t>
      </w:r>
      <w:r>
        <w:t>”.</w:t>
      </w:r>
    </w:p>
    <w:p w14:paraId="48E4216F" w14:textId="014D37FA" w:rsidR="00140DEE" w:rsidRDefault="007C5AC3" w:rsidP="00E5268A">
      <w:pPr>
        <w:rPr>
          <w:szCs w:val="20"/>
        </w:rPr>
      </w:pPr>
      <w:r w:rsidRPr="007C5AC3">
        <w:t xml:space="preserve">Meat and bone meal ash represents a circular nutrient potential of nearly 10% of mineral fertiliser phosphorus use in </w:t>
      </w:r>
      <w:r w:rsidRPr="0039269C">
        <w:rPr>
          <w:szCs w:val="20"/>
        </w:rPr>
        <w:t>in Europe</w:t>
      </w:r>
      <w:r w:rsidR="00E5268A" w:rsidRPr="0039269C">
        <w:rPr>
          <w:rStyle w:val="Appelnotedebasdep"/>
          <w:szCs w:val="20"/>
        </w:rPr>
        <w:footnoteReference w:id="1"/>
      </w:r>
      <w:r w:rsidR="00E5268A" w:rsidRPr="0039269C">
        <w:rPr>
          <w:szCs w:val="20"/>
        </w:rPr>
        <w:t>.</w:t>
      </w:r>
      <w:r w:rsidR="00E5268A">
        <w:rPr>
          <w:szCs w:val="20"/>
        </w:rPr>
        <w:t xml:space="preserve"> F</w:t>
      </w:r>
      <w:r w:rsidR="00E5268A" w:rsidRPr="007C5AC3">
        <w:t xml:space="preserve">or operational </w:t>
      </w:r>
      <w:r w:rsidR="00E5268A">
        <w:t xml:space="preserve">and logistic </w:t>
      </w:r>
      <w:r w:rsidR="00E5268A" w:rsidRPr="007C5AC3">
        <w:t xml:space="preserve">reasons Cats 1 – 3 meat and bone meal are </w:t>
      </w:r>
      <w:r w:rsidR="00E5268A">
        <w:t xml:space="preserve">often </w:t>
      </w:r>
      <w:r w:rsidR="00E5268A" w:rsidRPr="007C5AC3">
        <w:t xml:space="preserve">not incinerated separately, so </w:t>
      </w:r>
      <w:r w:rsidR="00E5268A">
        <w:t>that the</w:t>
      </w:r>
      <w:r w:rsidR="00E5268A" w:rsidRPr="007C5AC3">
        <w:t xml:space="preserve"> ash </w:t>
      </w:r>
      <w:r w:rsidR="00E5268A">
        <w:t>becomes</w:t>
      </w:r>
      <w:r w:rsidR="00E5268A" w:rsidRPr="007C5AC3">
        <w:t xml:space="preserve"> all Cat1. </w:t>
      </w:r>
      <w:r w:rsidR="00E5268A">
        <w:t>This ash offers</w:t>
      </w:r>
      <w:r w:rsidR="00E5268A" w:rsidRPr="007C5AC3">
        <w:t xml:space="preserve"> a high level of quality (high phosphorus content, low contaminant levels). It has been and still</w:t>
      </w:r>
      <w:r w:rsidR="00C3079D">
        <w:t xml:space="preserve"> today</w:t>
      </w:r>
      <w:r w:rsidR="00E5268A" w:rsidRPr="007C5AC3">
        <w:t xml:space="preserve"> is used directly as a fertiliser in the UK with no safety concerns, has been also used in other Member States (e.g. </w:t>
      </w:r>
      <w:r w:rsidR="00C3079D">
        <w:t xml:space="preserve">large-scale </w:t>
      </w:r>
      <w:r w:rsidR="00E5268A" w:rsidRPr="007C5AC3">
        <w:t>disposal of Fipronil eggs in the Netherlands</w:t>
      </w:r>
      <w:r w:rsidR="00C3079D">
        <w:t>, incineration and ash used as fertiliser</w:t>
      </w:r>
      <w:r w:rsidR="00E5268A" w:rsidRPr="007C5AC3">
        <w:t xml:space="preserve">) and is subject to obligatory phosphorus recovery </w:t>
      </w:r>
      <w:r w:rsidR="00E5268A">
        <w:rPr>
          <w:szCs w:val="20"/>
        </w:rPr>
        <w:t>in Switzerland</w:t>
      </w:r>
      <w:r w:rsidR="00E5268A">
        <w:rPr>
          <w:rStyle w:val="Appelnotedebasdep"/>
          <w:szCs w:val="20"/>
        </w:rPr>
        <w:footnoteReference w:id="2"/>
      </w:r>
      <w:r w:rsidR="00E5268A" w:rsidRPr="0039269C">
        <w:rPr>
          <w:szCs w:val="20"/>
        </w:rPr>
        <w:t>.</w:t>
      </w:r>
    </w:p>
    <w:p w14:paraId="06537E4D" w14:textId="2A7751A6" w:rsidR="00E5268A" w:rsidRDefault="00E5268A" w:rsidP="003B5CD6">
      <w:r w:rsidRPr="003B5CD6">
        <w:t>The EFSA Opinion of 20/10/2021 concluded 99-100% certaint</w:t>
      </w:r>
      <w:r w:rsidR="003B5CD6">
        <w:t>y</w:t>
      </w:r>
      <w:r w:rsidR="003B5CD6">
        <w:rPr>
          <w:rStyle w:val="Appelnotedebasdep"/>
        </w:rPr>
        <w:footnoteReference w:id="3"/>
      </w:r>
      <w:r w:rsidR="003B5CD6">
        <w:t xml:space="preserve"> for</w:t>
      </w:r>
      <w:r w:rsidRPr="003B5CD6">
        <w:t xml:space="preserve"> Cat2 and Cat3 ashes.</w:t>
      </w:r>
      <w:r w:rsidR="003B5CD6">
        <w:t xml:space="preserve"> EFSA has not to date assessed the use of Cat1 ABP ash as a fertiliser.</w:t>
      </w:r>
    </w:p>
    <w:p w14:paraId="0EF26C1F" w14:textId="2162D2D4" w:rsidR="00140DEE" w:rsidRPr="00E5268A" w:rsidRDefault="003B5CD6" w:rsidP="000F31ED">
      <w:r>
        <w:t xml:space="preserve">ESPP considers that safety of use of Cat1 ABP ash in EU fertilisers should be assessed urgently. </w:t>
      </w:r>
      <w:r w:rsidRPr="000F31ED">
        <w:rPr>
          <w:b/>
          <w:bCs/>
        </w:rPr>
        <w:t>We suggest that</w:t>
      </w:r>
      <w:r w:rsidR="0068161E" w:rsidRPr="000F31ED">
        <w:rPr>
          <w:b/>
          <w:bCs/>
        </w:rPr>
        <w:t>, if its members so agree,</w:t>
      </w:r>
      <w:r w:rsidRPr="000F31ED">
        <w:rPr>
          <w:b/>
          <w:bCs/>
        </w:rPr>
        <w:t xml:space="preserve"> the FEG</w:t>
      </w:r>
      <w:r w:rsidR="0068161E" w:rsidRPr="000F31ED">
        <w:rPr>
          <w:b/>
          <w:bCs/>
        </w:rPr>
        <w:t xml:space="preserve"> note in its minutes a request to the Commission to (a) mandate rapidly EFSA to assess the safety </w:t>
      </w:r>
      <w:r w:rsidR="000F31ED" w:rsidRPr="000F31ED">
        <w:rPr>
          <w:b/>
          <w:bCs/>
        </w:rPr>
        <w:t xml:space="preserve">ABP ash </w:t>
      </w:r>
      <w:r w:rsidR="00A46237">
        <w:rPr>
          <w:b/>
          <w:bCs/>
        </w:rPr>
        <w:t>for use as</w:t>
      </w:r>
      <w:r w:rsidR="0068161E" w:rsidRPr="000F31ED">
        <w:rPr>
          <w:b/>
          <w:bCs/>
        </w:rPr>
        <w:t xml:space="preserve"> fertilisers</w:t>
      </w:r>
      <w:r w:rsidR="0068161E">
        <w:t xml:space="preserve"> or for the production of </w:t>
      </w:r>
      <w:r w:rsidR="00A46237">
        <w:t xml:space="preserve">fertilisers or of </w:t>
      </w:r>
      <w:r w:rsidR="0068161E">
        <w:t xml:space="preserve">commodity chemicals </w:t>
      </w:r>
      <w:r w:rsidR="00A46237">
        <w:t>(</w:t>
      </w:r>
      <w:r w:rsidR="0068161E">
        <w:t xml:space="preserve">Cat1 ABP ash from incinerators operating under IED conditions and ensuring absence of cross-contamination </w:t>
      </w:r>
      <w:r w:rsidR="00A46237">
        <w:t xml:space="preserve">= </w:t>
      </w:r>
      <w:r w:rsidR="0068161E">
        <w:t>no contact between input materials and output ash) and (b) prepare amendments to the ABPR and FPR to allow safe use of Cat1 ABP ash in EU-fertilisers (subject to EFSA conclusions).</w:t>
      </w:r>
    </w:p>
    <w:p w14:paraId="2A85AD7B" w14:textId="722E7783" w:rsidR="00E0125D" w:rsidRDefault="00E0125D" w:rsidP="000F31ED">
      <w:pPr>
        <w:pStyle w:val="Titre1"/>
      </w:pPr>
      <w:r w:rsidRPr="000F31ED">
        <w:t>Clarification</w:t>
      </w:r>
      <w:r>
        <w:t xml:space="preserve"> of </w:t>
      </w:r>
      <w:r w:rsidR="00920EAC">
        <w:t xml:space="preserve">wording of </w:t>
      </w:r>
      <w:r>
        <w:t>DG GROW explanatory note</w:t>
      </w:r>
    </w:p>
    <w:p w14:paraId="6D33CE02" w14:textId="72C5EA7F" w:rsidR="00E0125D" w:rsidRDefault="00E0125D" w:rsidP="00E0125D">
      <w:r>
        <w:t>In “$1. Introduction” it is written “</w:t>
      </w:r>
      <w:r w:rsidRPr="00E0125D">
        <w:rPr>
          <w:i/>
          <w:iCs/>
        </w:rPr>
        <w:t>In both situations, the derived products may only be used if an end point</w:t>
      </w:r>
      <w:r>
        <w:t xml:space="preserve"> … </w:t>
      </w:r>
      <w:r w:rsidRPr="00E0125D">
        <w:rPr>
          <w:i/>
          <w:iCs/>
        </w:rPr>
        <w:t>are no longer subject to veterinary control and may circulate freely</w:t>
      </w:r>
      <w:r>
        <w:t xml:space="preserve"> </w:t>
      </w:r>
      <w:r w:rsidR="00A46237">
        <w:t>.</w:t>
      </w:r>
      <w:r>
        <w:t>..”</w:t>
      </w:r>
    </w:p>
    <w:p w14:paraId="15C7795E" w14:textId="5854DC05" w:rsidR="00E0125D" w:rsidRDefault="00E0125D" w:rsidP="00E0125D">
      <w:r>
        <w:t>As written, the “</w:t>
      </w:r>
      <w:r w:rsidRPr="00E0125D">
        <w:rPr>
          <w:i/>
          <w:iCs/>
        </w:rPr>
        <w:t>both situations</w:t>
      </w:r>
      <w:r>
        <w:t xml:space="preserve">” appears to refer to the two bullet points above (national </w:t>
      </w:r>
      <w:r w:rsidR="00A46237">
        <w:t xml:space="preserve">fertiliser </w:t>
      </w:r>
      <w:r>
        <w:t>rules</w:t>
      </w:r>
      <w:r w:rsidR="00A46237">
        <w:t>,</w:t>
      </w:r>
      <w:r>
        <w:t xml:space="preserve"> FPR).</w:t>
      </w:r>
    </w:p>
    <w:p w14:paraId="3C9007CC" w14:textId="4F339F33" w:rsidR="00E0125D" w:rsidRDefault="00A46237" w:rsidP="00E0125D">
      <w:r>
        <w:t>Whereas, i</w:t>
      </w:r>
      <w:r w:rsidR="00685AE5">
        <w:t xml:space="preserve">t is our understanding that ‘end points’ and free circulation apply only to EU fertilisers, not </w:t>
      </w:r>
      <w:r>
        <w:t xml:space="preserve">to </w:t>
      </w:r>
      <w:r w:rsidR="00685AE5">
        <w:t>national fertilisers ?</w:t>
      </w:r>
    </w:p>
    <w:p w14:paraId="388F9967" w14:textId="57B981DF" w:rsidR="00685AE5" w:rsidRPr="000F31ED" w:rsidRDefault="00685AE5" w:rsidP="000F31ED">
      <w:pPr>
        <w:pStyle w:val="Titre1"/>
      </w:pPr>
      <w:r w:rsidRPr="000F31ED">
        <w:t>CMCs 3, 5 and 13, but also CMCs 12 and 14</w:t>
      </w:r>
      <w:r w:rsidR="00F7224F" w:rsidRPr="000F31ED">
        <w:t xml:space="preserve"> and update of FAQ 8.26</w:t>
      </w:r>
    </w:p>
    <w:p w14:paraId="1765C290" w14:textId="0A6F3921" w:rsidR="00685AE5" w:rsidRDefault="00685AE5" w:rsidP="00685AE5">
      <w:r>
        <w:lastRenderedPageBreak/>
        <w:t>“$1. Introduction” refers to CMCs 3, 5 and 13 (but not to CMCs 12 and 14), but the proposed amendments in $2 address only CMC10.</w:t>
      </w:r>
    </w:p>
    <w:p w14:paraId="4B01C294" w14:textId="3A09B880" w:rsidR="00F7224F" w:rsidRDefault="00F7224F" w:rsidP="00685AE5">
      <w:r>
        <w:t>We request that DG GROW add to this note an explanation of under what conditions ABPs can be used in CMCs 3, 5, 12, 13 and 14. We would suggest that an efficient way to do this would be to include already</w:t>
      </w:r>
      <w:r w:rsidR="00C23E56">
        <w:t xml:space="preserve"> for consideration of </w:t>
      </w:r>
      <w:r w:rsidR="00A46237">
        <w:t>this</w:t>
      </w:r>
      <w:r w:rsidR="00C23E56">
        <w:t xml:space="preserve"> FEG </w:t>
      </w:r>
      <w:r w:rsidR="00A46237">
        <w:t xml:space="preserve">ad-how meeting </w:t>
      </w:r>
      <w:r w:rsidR="00C23E56">
        <w:t>a draft modification of the FPR “Questions and Answers” document FAQ 8.26</w:t>
      </w:r>
    </w:p>
    <w:p w14:paraId="72324873" w14:textId="53D6106F" w:rsidR="00C23E56" w:rsidRDefault="00C23E56" w:rsidP="00685AE5">
      <w:r>
        <w:t>At present FAQ 8.26 states “</w:t>
      </w:r>
      <w:r w:rsidRPr="00C23E56">
        <w:rPr>
          <w:i/>
          <w:iCs/>
        </w:rPr>
        <w:t>To use a derived product as a component material, in addition to having the end point determined, the derived product has also to be listed in CMC 10 in Annex II to the FPR</w:t>
      </w:r>
      <w:r w:rsidRPr="00C23E56">
        <w:t>.</w:t>
      </w:r>
      <w:r>
        <w:t xml:space="preserve">” To our understanding, this is misleading, in that ABPS can also be used in CMCs 3, 5, 12, 13 and 14 subject to achieving one of the ‘future’ ABP end-points established </w:t>
      </w:r>
      <w:r w:rsidR="00A46237">
        <w:t xml:space="preserve">(it is anticipated) </w:t>
      </w:r>
      <w:r>
        <w:t>by the amendment to the ABPRs currently ongoing.</w:t>
      </w:r>
    </w:p>
    <w:p w14:paraId="1B31CC2E" w14:textId="17BB1AFE" w:rsidR="0045494C" w:rsidRDefault="0045494C" w:rsidP="00685AE5">
      <w:r>
        <w:t xml:space="preserve">We suggest that FAQ 8.26 be </w:t>
      </w:r>
      <w:r w:rsidR="00A46237">
        <w:t xml:space="preserve">updated and </w:t>
      </w:r>
      <w:r>
        <w:t>modified (</w:t>
      </w:r>
      <w:r w:rsidR="00A46237">
        <w:t xml:space="preserve">publication </w:t>
      </w:r>
      <w:r>
        <w:t>as soon as the ‘future’ ABPR amendment is published</w:t>
      </w:r>
      <w:r w:rsidR="00A46237">
        <w:t>, preparation already now</w:t>
      </w:r>
      <w:r>
        <w:t>) to replace “</w:t>
      </w:r>
      <w:r w:rsidRPr="0045494C">
        <w:rPr>
          <w:i/>
          <w:iCs/>
        </w:rPr>
        <w:t>for the moment, none of these products  … have an end-point</w:t>
      </w:r>
      <w:r>
        <w:t xml:space="preserve"> …” by an explanation that ABPS can be used in FPs under three possible conditions:</w:t>
      </w:r>
    </w:p>
    <w:p w14:paraId="4811DDD8" w14:textId="77777777" w:rsidR="00DD6A5C" w:rsidRDefault="00C44270" w:rsidP="0045494C">
      <w:pPr>
        <w:pStyle w:val="Paragraphedeliste"/>
        <w:numPr>
          <w:ilvl w:val="0"/>
          <w:numId w:val="2"/>
        </w:numPr>
      </w:pPr>
      <w:r>
        <w:t>T</w:t>
      </w:r>
      <w:r w:rsidR="0045494C">
        <w:t>he ABP is listed in CMC10 and the ABP has met the relevant end-point specified in the ABP amendment</w:t>
      </w:r>
      <w:r w:rsidR="003807F3">
        <w:t>.</w:t>
      </w:r>
    </w:p>
    <w:p w14:paraId="5B27D84F" w14:textId="77777777" w:rsidR="00DD6A5C" w:rsidRDefault="00DD6A5C" w:rsidP="00DD6A5C">
      <w:pPr>
        <w:pStyle w:val="Paragraphedeliste"/>
        <w:ind w:left="1080"/>
      </w:pPr>
    </w:p>
    <w:p w14:paraId="3C28BB2C" w14:textId="23980012" w:rsidR="0045494C" w:rsidRDefault="003807F3" w:rsidP="00DD6A5C">
      <w:pPr>
        <w:pStyle w:val="Paragraphedeliste"/>
        <w:ind w:left="1080"/>
      </w:pPr>
      <w:r>
        <w:t>[N</w:t>
      </w:r>
      <w:r w:rsidR="0045494C">
        <w:t xml:space="preserve">ote: </w:t>
      </w:r>
      <w:r w:rsidR="00A46237">
        <w:t xml:space="preserve">to </w:t>
      </w:r>
      <w:r w:rsidR="00DD6A5C">
        <w:t>ESPP’s</w:t>
      </w:r>
      <w:r w:rsidR="00A46237">
        <w:t xml:space="preserve"> understanding, </w:t>
      </w:r>
      <w:r w:rsidR="0045494C">
        <w:t xml:space="preserve">not applicable until </w:t>
      </w:r>
      <w:r w:rsidR="00D5083F">
        <w:t>both the ABP amendment and the</w:t>
      </w:r>
      <w:r w:rsidR="0045494C">
        <w:t xml:space="preserve"> proposed amendment modifying FPR CMC10 </w:t>
      </w:r>
      <w:r w:rsidR="00AE5DB3">
        <w:t>enter into force</w:t>
      </w:r>
      <w:r w:rsidR="00292632">
        <w:t>.]</w:t>
      </w:r>
    </w:p>
    <w:p w14:paraId="003893E3" w14:textId="77777777" w:rsidR="009F34E7" w:rsidRDefault="009F34E7" w:rsidP="009F34E7">
      <w:pPr>
        <w:pStyle w:val="Paragraphedeliste"/>
        <w:ind w:left="1080"/>
      </w:pPr>
    </w:p>
    <w:p w14:paraId="023864E6" w14:textId="74213FD8" w:rsidR="00DD6A5C" w:rsidRDefault="00C44270" w:rsidP="0045494C">
      <w:pPr>
        <w:pStyle w:val="Paragraphedeliste"/>
        <w:numPr>
          <w:ilvl w:val="0"/>
          <w:numId w:val="2"/>
        </w:numPr>
      </w:pPr>
      <w:r>
        <w:t>T</w:t>
      </w:r>
      <w:r w:rsidR="00AE5DB3">
        <w:t>he ABP is listed as a possible input to another CMC (</w:t>
      </w:r>
      <w:r>
        <w:t xml:space="preserve">not CMC10: </w:t>
      </w:r>
      <w:r w:rsidR="00AE5DB3">
        <w:t xml:space="preserve">certain ABPs are listed as possible inputs for CMCs 5, 5, 12, 12 and 13) AND the ABP material has met one of the end-points specified in the ABP amendment </w:t>
      </w:r>
      <w:r w:rsidR="00A04083">
        <w:t>BEFORE it</w:t>
      </w:r>
      <w:r w:rsidR="00DD6A5C">
        <w:t>s</w:t>
      </w:r>
      <w:r w:rsidR="00A04083">
        <w:t xml:space="preserve"> use as an input material to the specified CMC process</w:t>
      </w:r>
      <w:r>
        <w:t>.</w:t>
      </w:r>
    </w:p>
    <w:p w14:paraId="77CFA607" w14:textId="77777777" w:rsidR="00DD6A5C" w:rsidRDefault="00DD6A5C" w:rsidP="00DD6A5C">
      <w:pPr>
        <w:pStyle w:val="Paragraphedeliste"/>
        <w:ind w:left="1080"/>
      </w:pPr>
    </w:p>
    <w:p w14:paraId="199F5A93" w14:textId="2760EEE6" w:rsidR="009F34E7" w:rsidRDefault="00292632" w:rsidP="00DD6A5C">
      <w:pPr>
        <w:pStyle w:val="Paragraphedeliste"/>
        <w:ind w:left="1080"/>
      </w:pPr>
      <w:r>
        <w:t>[</w:t>
      </w:r>
      <w:r w:rsidR="00C44270">
        <w:t>N</w:t>
      </w:r>
      <w:r w:rsidR="00AE5DB3">
        <w:t xml:space="preserve">ote: </w:t>
      </w:r>
      <w:r w:rsidR="00DD6A5C">
        <w:t xml:space="preserve">to ESPP’s understanding, </w:t>
      </w:r>
      <w:r w:rsidR="00AE5DB3">
        <w:t xml:space="preserve">applicable </w:t>
      </w:r>
      <w:r w:rsidR="00D5083F">
        <w:t>immediately the ABP</w:t>
      </w:r>
      <w:r w:rsidR="00C44270">
        <w:t>R</w:t>
      </w:r>
      <w:r w:rsidR="00D5083F">
        <w:t xml:space="preserve"> amendment enters into force, without requiring amendment of the </w:t>
      </w:r>
      <w:r w:rsidR="00AE5DB3">
        <w:t>FPR</w:t>
      </w:r>
      <w:r>
        <w:t>]</w:t>
      </w:r>
      <w:r w:rsidR="00AE5DB3">
        <w:t xml:space="preserve">. </w:t>
      </w:r>
    </w:p>
    <w:p w14:paraId="2D7B1241" w14:textId="0C03A246" w:rsidR="00D5083F" w:rsidRDefault="009F34E7" w:rsidP="009F34E7">
      <w:pPr>
        <w:pStyle w:val="Paragraphedeliste"/>
        <w:ind w:left="1080"/>
      </w:pPr>
      <w:r>
        <w:br/>
      </w:r>
      <w:r w:rsidR="00E67589">
        <w:t>An example of (ii) is as follows: hygienised manure can be used as an input material for</w:t>
      </w:r>
      <w:r w:rsidR="00AE5DB3">
        <w:t xml:space="preserve"> CMC12 “Precipitated Phosphates and Derivates” </w:t>
      </w:r>
      <w:r w:rsidR="00E67589">
        <w:t xml:space="preserve">(that is, phosphates are precipitated from the hygienised manure), </w:t>
      </w:r>
      <w:r w:rsidR="00AE5DB3">
        <w:t xml:space="preserve">by </w:t>
      </w:r>
      <w:r w:rsidR="00E67589">
        <w:t xml:space="preserve">application of </w:t>
      </w:r>
      <w:r w:rsidR="00AE5DB3">
        <w:t>art. 6 of this CMC</w:t>
      </w:r>
      <w:r w:rsidR="00292632">
        <w:t xml:space="preserve">. This is </w:t>
      </w:r>
      <w:r w:rsidR="00E67589">
        <w:t>subject to the manure having been hygienised under the conditions specified in the ABP amendment for “Processed manure”</w:t>
      </w:r>
      <w:r w:rsidR="00DD6A5C">
        <w:t xml:space="preserve"> before being used as input to the precipitation process</w:t>
      </w:r>
      <w:r w:rsidR="00E67589">
        <w:t xml:space="preserve">, and </w:t>
      </w:r>
      <w:r w:rsidR="00292632">
        <w:t>also</w:t>
      </w:r>
      <w:r w:rsidR="00E67589">
        <w:t xml:space="preserve"> to the precipitated phosphate meeting the conditions of the FPR (CMC12</w:t>
      </w:r>
      <w:r>
        <w:t xml:space="preserve">) and the fertilising product containing it meeting the </w:t>
      </w:r>
      <w:r w:rsidR="00292632">
        <w:t xml:space="preserve">other </w:t>
      </w:r>
      <w:r>
        <w:t>conditions of the FPR (</w:t>
      </w:r>
      <w:r w:rsidR="00E67589">
        <w:t>Annex</w:t>
      </w:r>
      <w:r>
        <w:t>es</w:t>
      </w:r>
      <w:r w:rsidR="00E67589">
        <w:t xml:space="preserve"> I, III, IV)</w:t>
      </w:r>
      <w:r>
        <w:t>.</w:t>
      </w:r>
    </w:p>
    <w:p w14:paraId="4BF318F6" w14:textId="77777777" w:rsidR="00D5083F" w:rsidRDefault="00D5083F" w:rsidP="009F34E7">
      <w:pPr>
        <w:pStyle w:val="Paragraphedeliste"/>
        <w:ind w:left="1080"/>
      </w:pPr>
    </w:p>
    <w:p w14:paraId="75F5E90F" w14:textId="77777777" w:rsidR="00DD6A5C" w:rsidRDefault="00C44270" w:rsidP="00595745">
      <w:pPr>
        <w:pStyle w:val="Paragraphedeliste"/>
        <w:numPr>
          <w:ilvl w:val="0"/>
          <w:numId w:val="2"/>
        </w:numPr>
      </w:pPr>
      <w:r>
        <w:t>The</w:t>
      </w:r>
      <w:r w:rsidR="00D5083F">
        <w:t xml:space="preserve"> ABP is listed as a possible input to another CMC (</w:t>
      </w:r>
      <w:r>
        <w:t xml:space="preserve">not CMC10: </w:t>
      </w:r>
      <w:r w:rsidR="00D5083F">
        <w:t xml:space="preserve">certain ABPs are listed as possible inputs for CMCs 5, 5, 12, 12 and 13) AND the </w:t>
      </w:r>
      <w:r>
        <w:t xml:space="preserve">processing described in this CMC enables to achieve the ABPR end-point as specified, that is the ABP achieves the ABPR end-point </w:t>
      </w:r>
      <w:r w:rsidR="00292632">
        <w:t>DURING</w:t>
      </w:r>
      <w:r>
        <w:t xml:space="preserve"> its FPR CMC processing.</w:t>
      </w:r>
    </w:p>
    <w:p w14:paraId="34E38630" w14:textId="77777777" w:rsidR="00DD6A5C" w:rsidRDefault="00DD6A5C" w:rsidP="00DD6A5C">
      <w:pPr>
        <w:pStyle w:val="Paragraphedeliste"/>
        <w:ind w:left="1080"/>
      </w:pPr>
    </w:p>
    <w:p w14:paraId="2E67234B" w14:textId="4649EDE4" w:rsidR="003807F3" w:rsidRDefault="00292632" w:rsidP="00DD6A5C">
      <w:pPr>
        <w:pStyle w:val="Paragraphedeliste"/>
        <w:ind w:left="1080"/>
      </w:pPr>
      <w:r>
        <w:t>[</w:t>
      </w:r>
      <w:r w:rsidR="00C44270">
        <w:t>N</w:t>
      </w:r>
      <w:r w:rsidR="00D5083F">
        <w:t xml:space="preserve">ote: </w:t>
      </w:r>
      <w:r w:rsidR="00DD6A5C">
        <w:t xml:space="preserve">to ESPP’s understanding, </w:t>
      </w:r>
      <w:r w:rsidR="00D5083F">
        <w:t>applicable immediately the ABP amendment enters into force, without requiring amendment of the FPR</w:t>
      </w:r>
      <w:r>
        <w:t>]</w:t>
      </w:r>
      <w:r w:rsidR="00D5083F">
        <w:t>.</w:t>
      </w:r>
    </w:p>
    <w:p w14:paraId="37C10B84" w14:textId="77777777" w:rsidR="003807F3" w:rsidRDefault="003807F3" w:rsidP="003807F3">
      <w:pPr>
        <w:pStyle w:val="Paragraphedeliste"/>
        <w:ind w:left="1080"/>
      </w:pPr>
    </w:p>
    <w:p w14:paraId="6BB94265" w14:textId="1D96F0BE" w:rsidR="00F013CC" w:rsidRDefault="003807F3" w:rsidP="00F013CC">
      <w:pPr>
        <w:pStyle w:val="Paragraphedeliste"/>
        <w:ind w:left="1080"/>
      </w:pPr>
      <w:r>
        <w:t>An example of (</w:t>
      </w:r>
      <w:r w:rsidR="00292632">
        <w:t>ii</w:t>
      </w:r>
      <w:r>
        <w:t>i) is as follows: raw manure can be used as an input material for CMC12 “Precipitated Phosphates and Derivates” if the process described in CMC12 achieves the conditions specified in the ABPR amendment to reach the ABP end-point for</w:t>
      </w:r>
      <w:r w:rsidR="00DD6A5C">
        <w:t xml:space="preserve"> “processed manure”</w:t>
      </w:r>
      <w:r>
        <w:t xml:space="preserve">. For example, it is specified in CMC12 (1)(f) that the precipitated phosphates may be treated by </w:t>
      </w:r>
      <w:bookmarkStart w:id="0" w:name="_Hlk120090144"/>
      <w:r>
        <w:t>“</w:t>
      </w:r>
      <w:r w:rsidRPr="00DD36FB">
        <w:rPr>
          <w:i/>
          <w:iCs/>
        </w:rPr>
        <w:t xml:space="preserve">steam distillation or heating solely to remove water, thermal hydrolysis </w:t>
      </w:r>
      <w:bookmarkEnd w:id="0"/>
      <w:r w:rsidRPr="00DD36FB">
        <w:rPr>
          <w:i/>
          <w:iCs/>
        </w:rPr>
        <w:t>… The temperature under such processes shall not be raised above 275°C</w:t>
      </w:r>
      <w:r>
        <w:t xml:space="preserve">”. So, </w:t>
      </w:r>
      <w:r w:rsidR="00292632">
        <w:t xml:space="preserve">raw manure </w:t>
      </w:r>
      <w:r w:rsidR="00F013CC">
        <w:t>can be used as</w:t>
      </w:r>
      <w:r w:rsidR="00292632">
        <w:t xml:space="preserve"> an input material </w:t>
      </w:r>
      <w:r w:rsidR="00292632">
        <w:lastRenderedPageBreak/>
        <w:t xml:space="preserve">to </w:t>
      </w:r>
      <w:r w:rsidR="00F013CC">
        <w:t>a CMC12</w:t>
      </w:r>
      <w:r w:rsidR="00292632">
        <w:t xml:space="preserve"> precipitation process </w:t>
      </w:r>
      <w:r w:rsidR="00F013CC">
        <w:t>if</w:t>
      </w:r>
      <w:r w:rsidR="00292632">
        <w:t xml:space="preserve"> </w:t>
      </w:r>
      <w:r>
        <w:t xml:space="preserve">the precipitated phosphates are </w:t>
      </w:r>
      <w:r w:rsidR="00292632">
        <w:t>treated such</w:t>
      </w:r>
      <w:r>
        <w:t xml:space="preserve"> that the conditions </w:t>
      </w:r>
      <w:r w:rsidR="00292632">
        <w:t xml:space="preserve">of </w:t>
      </w:r>
      <w:r>
        <w:t xml:space="preserve">the ABP end-point for “processed manure” </w:t>
      </w:r>
      <w:r w:rsidR="00292632">
        <w:t>(</w:t>
      </w:r>
      <w:r w:rsidR="00F013CC">
        <w:t>in particular,</w:t>
      </w:r>
      <w:r w:rsidR="00DD6A5C">
        <w:t xml:space="preserve"> temperature-time</w:t>
      </w:r>
      <w:r w:rsidR="00F013CC">
        <w:t xml:space="preserve"> </w:t>
      </w:r>
      <w:r w:rsidR="00292632">
        <w:t>70°C, 60 minutes)</w:t>
      </w:r>
      <w:r w:rsidR="00F013CC">
        <w:t xml:space="preserve"> and also the precipitated phosphate meet</w:t>
      </w:r>
      <w:r w:rsidR="00DD6A5C">
        <w:t xml:space="preserve">s </w:t>
      </w:r>
      <w:r w:rsidR="00F013CC">
        <w:t>the conditions of the FPR (CMC12) and the fertilising product containing it meet</w:t>
      </w:r>
      <w:r w:rsidR="00DD6A5C">
        <w:t>s</w:t>
      </w:r>
      <w:r w:rsidR="00F013CC">
        <w:t xml:space="preserve"> the other conditions of the FPR (Annexes I, III, IV).</w:t>
      </w:r>
    </w:p>
    <w:p w14:paraId="00767198" w14:textId="5AF07808" w:rsidR="00F013CC" w:rsidRDefault="00F013CC" w:rsidP="00F013CC">
      <w:pPr>
        <w:pStyle w:val="Paragraphedeliste"/>
        <w:ind w:left="1080"/>
      </w:pPr>
    </w:p>
    <w:p w14:paraId="5639C45D" w14:textId="53F6999A" w:rsidR="00F013CC" w:rsidRDefault="00F013CC" w:rsidP="00F013CC">
      <w:pPr>
        <w:pStyle w:val="Paragraphedeliste"/>
        <w:ind w:left="1080"/>
      </w:pPr>
      <w:r>
        <w:t xml:space="preserve">Example (iii) is applicable similarly for use of raw manure as input to CMC3 compost or CMC5 digestate, subject to </w:t>
      </w:r>
      <w:r w:rsidR="00DD6A5C">
        <w:t xml:space="preserve">the composting or digesting process </w:t>
      </w:r>
      <w:r>
        <w:t>respecting the relevant ABPR end-point conditions for composts and digestates.</w:t>
      </w:r>
    </w:p>
    <w:p w14:paraId="03E3A943" w14:textId="44ABED05" w:rsidR="003807F3" w:rsidRDefault="00F013CC" w:rsidP="00F013CC">
      <w:r>
        <w:t xml:space="preserve">Note: concerning (iii). The </w:t>
      </w:r>
      <w:r w:rsidR="003807F3">
        <w:t>ABPR amendment</w:t>
      </w:r>
      <w:r>
        <w:t xml:space="preserve"> specifies</w:t>
      </w:r>
      <w:r w:rsidR="00DD6A5C">
        <w:t xml:space="preserve">, </w:t>
      </w:r>
      <w:r>
        <w:t>for “processed manure”</w:t>
      </w:r>
      <w:r w:rsidR="00DD6A5C">
        <w:t>:</w:t>
      </w:r>
      <w:r w:rsidR="003807F3">
        <w:t xml:space="preserve"> </w:t>
      </w:r>
      <w:r w:rsidR="003807F3" w:rsidRPr="00456FFE">
        <w:t>Section 2, points (a), (b) and (d) of Chapter 1, of Annex XI to Regulation (EU) No 142/2011</w:t>
      </w:r>
      <w:r>
        <w:t>. That</w:t>
      </w:r>
      <w:r w:rsidR="003807F3">
        <w:t xml:space="preserve"> is</w:t>
      </w:r>
      <w:r>
        <w:t xml:space="preserve">, THREE </w:t>
      </w:r>
      <w:r w:rsidR="000A09E7">
        <w:t>conditions:</w:t>
      </w:r>
      <w:r w:rsidR="000A09E7">
        <w:br/>
        <w:t xml:space="preserve">- </w:t>
      </w:r>
      <w:r w:rsidR="003807F3">
        <w:t>(a) come from a specified plant</w:t>
      </w:r>
      <w:r w:rsidR="00DD6A5C">
        <w:t>,</w:t>
      </w:r>
      <w:r w:rsidR="000A09E7">
        <w:br/>
        <w:t xml:space="preserve">- </w:t>
      </w:r>
      <w:r w:rsidR="003807F3">
        <w:t>(b)</w:t>
      </w:r>
      <w:r w:rsidR="003807F3" w:rsidRPr="00456FFE">
        <w:t xml:space="preserve"> </w:t>
      </w:r>
      <w:r w:rsidR="003807F3">
        <w:t>be heated to</w:t>
      </w:r>
      <w:r w:rsidR="003807F3" w:rsidRPr="00456FFE">
        <w:t xml:space="preserve"> at least 70 °C for at least 60 minutes</w:t>
      </w:r>
      <w:r w:rsidR="00DD6A5C">
        <w:t>,</w:t>
      </w:r>
      <w:r w:rsidR="000A09E7">
        <w:br/>
        <w:t xml:space="preserve">- </w:t>
      </w:r>
      <w:r w:rsidR="003807F3">
        <w:t>and (d) undergo appropriate pathogen sampling</w:t>
      </w:r>
    </w:p>
    <w:p w14:paraId="52C7F41E" w14:textId="5B7D6746" w:rsidR="000A09E7" w:rsidRDefault="000A09E7" w:rsidP="00F013CC">
      <w:r>
        <w:t xml:space="preserve">We request that the FPR FAQ clarify the interpretation of point </w:t>
      </w:r>
      <w:r w:rsidRPr="000A09E7">
        <w:t>(a)</w:t>
      </w:r>
      <w:r>
        <w:t>: “</w:t>
      </w:r>
      <w:r w:rsidRPr="00920EAC">
        <w:rPr>
          <w:i/>
          <w:iCs/>
        </w:rPr>
        <w:t>processed manure … products from processed manure … must come from a plant for derived products for uses outside the feed chain or from a biogas or a composting plant or from a plant for the manufacturing of organic fertilisers or soil improvers</w:t>
      </w:r>
      <w:r w:rsidRPr="000A09E7">
        <w:t>.</w:t>
      </w:r>
      <w:r>
        <w:t>”</w:t>
      </w:r>
    </w:p>
    <w:p w14:paraId="1D35C673" w14:textId="16B53F73" w:rsidR="000A09E7" w:rsidRDefault="000A09E7" w:rsidP="00F013CC">
      <w:r>
        <w:t xml:space="preserve">Can a </w:t>
      </w:r>
      <w:r w:rsidR="00920EAC">
        <w:t xml:space="preserve">raw </w:t>
      </w:r>
      <w:r>
        <w:t>manure processing installation which includes a phosphate precipitation unit be considered to be such a plant ?</w:t>
      </w:r>
    </w:p>
    <w:p w14:paraId="6A9D0EA8" w14:textId="456AD40D" w:rsidR="000A09E7" w:rsidRDefault="000A09E7" w:rsidP="00F013CC">
      <w:r>
        <w:t xml:space="preserve">What if the precipitated phosphate is transported from the </w:t>
      </w:r>
      <w:r w:rsidR="00920EAC">
        <w:t xml:space="preserve">raw </w:t>
      </w:r>
      <w:r>
        <w:t xml:space="preserve">manure processing installation to a different site (e.g. a </w:t>
      </w:r>
      <w:r w:rsidR="00920EAC">
        <w:t xml:space="preserve">mineral </w:t>
      </w:r>
      <w:r>
        <w:t>fertiliser industry factory) where the “</w:t>
      </w:r>
      <w:r w:rsidRPr="00920EAC">
        <w:rPr>
          <w:i/>
          <w:iCs/>
        </w:rPr>
        <w:t>steam distillation or heating solely to remove water, thermal hydrolysis</w:t>
      </w:r>
      <w:r>
        <w:t>” (as per CMC12(1)(f) )</w:t>
      </w:r>
      <w:r w:rsidR="00245667">
        <w:t xml:space="preserve"> </w:t>
      </w:r>
      <w:r>
        <w:t>takes place ?</w:t>
      </w:r>
      <w:r w:rsidR="00920EAC">
        <w:t xml:space="preserve"> Is this mineral fertiliser factory considered to be such a plant</w:t>
      </w:r>
      <w:r w:rsidR="00C74B4F">
        <w:t xml:space="preserve"> ?</w:t>
      </w:r>
    </w:p>
    <w:p w14:paraId="5FC25565" w14:textId="2E55DCA0" w:rsidR="00920EAC" w:rsidRDefault="00920EAC" w:rsidP="00F013CC">
      <w:r>
        <w:t>What if compost, from a composting plant using raw manure as an input (and achieving the ABPR heat-time specifications and pathogen sampling specifications)</w:t>
      </w:r>
      <w:r w:rsidR="00C74B4F">
        <w:t>,</w:t>
      </w:r>
      <w:r>
        <w:t xml:space="preserve"> is transported to a factory producing fertilisers?</w:t>
      </w:r>
    </w:p>
    <w:p w14:paraId="2392916E" w14:textId="4D76936A" w:rsidR="00245667" w:rsidRPr="000F31ED" w:rsidRDefault="00245667" w:rsidP="00245667">
      <w:pPr>
        <w:pStyle w:val="Titre1"/>
      </w:pPr>
      <w:r>
        <w:t>Wording clarification</w:t>
      </w:r>
      <w:r w:rsidRPr="000F31ED">
        <w:t xml:space="preserve"> of FAQ 8.26</w:t>
      </w:r>
    </w:p>
    <w:p w14:paraId="344D6A62" w14:textId="61BB2E55" w:rsidR="00245667" w:rsidRDefault="00245667" w:rsidP="00245667">
      <w:r>
        <w:t>Currently, FAQ 8.26 states “</w:t>
      </w:r>
      <w:r w:rsidRPr="00245667">
        <w:rPr>
          <w:i/>
          <w:iCs/>
        </w:rPr>
        <w:t>the Commission has not been empowered under the ABPR to define end-points for organic fertilisers and soil improvers</w:t>
      </w:r>
      <w:r>
        <w:t xml:space="preserve"> …”</w:t>
      </w:r>
    </w:p>
    <w:p w14:paraId="64ED636B" w14:textId="5A9ADAC3" w:rsidR="00D65804" w:rsidRDefault="00D65804" w:rsidP="00245667">
      <w:r>
        <w:t xml:space="preserve">We suggest to clarify that </w:t>
      </w:r>
      <w:r w:rsidR="00C74B4F">
        <w:t xml:space="preserve">here </w:t>
      </w:r>
      <w:r>
        <w:t xml:space="preserve">this </w:t>
      </w:r>
      <w:r w:rsidR="00C74B4F">
        <w:t xml:space="preserve">wording </w:t>
      </w:r>
      <w:r>
        <w:t>means OFSI as defined in the ABPR, not “Organic Fertilisers” or “Soil Improvers” as defined in the FPR.</w:t>
      </w:r>
    </w:p>
    <w:p w14:paraId="1466DA34" w14:textId="61A079CE" w:rsidR="00D65804" w:rsidRDefault="00D65804" w:rsidP="00245667">
      <w:r>
        <w:t xml:space="preserve">For this, reference can be made to FAQ 1.4 which explains that the term ‘OFSI’ in the ABPR does not have the same meaning as </w:t>
      </w:r>
      <w:r w:rsidR="00C74B4F">
        <w:t xml:space="preserve">“Organic Fertiliser” or “Soil Improver” </w:t>
      </w:r>
      <w:r>
        <w:t>in the FPR.</w:t>
      </w:r>
    </w:p>
    <w:p w14:paraId="232B1AF1" w14:textId="42A44D3F" w:rsidR="00D65804" w:rsidRDefault="00D65804" w:rsidP="00245667">
      <w:r>
        <w:t>It is important to clarify this in FAQ 8.26 because an “Inorganic Fertiliser” and/or “Mineral Fertiliser”, as defined by FPR, can be an “Organic Fertiliser [and Soil Improver]” as defined under the ABPR.</w:t>
      </w:r>
    </w:p>
    <w:p w14:paraId="4FF592FB" w14:textId="17F9BF6A" w:rsidR="008653AB" w:rsidRDefault="00D65804" w:rsidP="008653AB">
      <w:r>
        <w:t xml:space="preserve">Such an (FPR) “Mineral Fertiliser”, which is an </w:t>
      </w:r>
      <w:r w:rsidR="008653AB">
        <w:t xml:space="preserve">(ABP) </w:t>
      </w:r>
      <w:r>
        <w:t>“Organic Fertiliser”</w:t>
      </w:r>
      <w:r w:rsidR="008653AB">
        <w:t xml:space="preserve">, may or may not also be an organic fertiliser, meaning authorised for use in Organic Production under Regulations 2018/848 and 2021/1165. </w:t>
      </w:r>
    </w:p>
    <w:p w14:paraId="712107F1" w14:textId="5A6A63C1" w:rsidR="00D65804" w:rsidRDefault="00C74B4F" w:rsidP="008653AB">
      <w:r>
        <w:t>S</w:t>
      </w:r>
      <w:r w:rsidR="008653AB">
        <w:t>ome companies and stakeholders seem to be confused by this.</w:t>
      </w:r>
    </w:p>
    <w:sectPr w:rsidR="00D65804" w:rsidSect="00D70C85">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5515" w14:textId="77777777" w:rsidR="00153F5F" w:rsidRDefault="00153F5F" w:rsidP="007C5AC3">
      <w:pPr>
        <w:spacing w:after="0" w:line="240" w:lineRule="auto"/>
      </w:pPr>
      <w:r>
        <w:separator/>
      </w:r>
    </w:p>
  </w:endnote>
  <w:endnote w:type="continuationSeparator" w:id="0">
    <w:p w14:paraId="12DE339B" w14:textId="77777777" w:rsidR="00153F5F" w:rsidRDefault="00153F5F" w:rsidP="007C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4B30" w14:textId="72492E00" w:rsidR="00216586" w:rsidRPr="00216586" w:rsidRDefault="00216586" w:rsidP="00216586">
    <w:pPr>
      <w:pStyle w:val="Pieddepage"/>
      <w:jc w:val="center"/>
      <w:rPr>
        <w:i/>
        <w:iCs/>
        <w:color w:val="C45911" w:themeColor="accent2" w:themeShade="BF"/>
      </w:rPr>
    </w:pPr>
    <w:r w:rsidRPr="00216586">
      <w:rPr>
        <w:i/>
        <w:iCs/>
        <w:color w:val="C45911" w:themeColor="accent2" w:themeShade="BF"/>
      </w:rPr>
      <w:t xml:space="preserve">ESPP – draft for comment - page </w:t>
    </w:r>
    <w:r w:rsidRPr="00216586">
      <w:rPr>
        <w:b/>
        <w:bCs/>
        <w:i/>
        <w:iCs/>
        <w:color w:val="C45911" w:themeColor="accent2" w:themeShade="BF"/>
      </w:rPr>
      <w:fldChar w:fldCharType="begin"/>
    </w:r>
    <w:r w:rsidRPr="00216586">
      <w:rPr>
        <w:b/>
        <w:bCs/>
        <w:i/>
        <w:iCs/>
        <w:color w:val="C45911" w:themeColor="accent2" w:themeShade="BF"/>
      </w:rPr>
      <w:instrText>PAGE  \* Arabic  \* MERGEFORMAT</w:instrText>
    </w:r>
    <w:r w:rsidRPr="00216586">
      <w:rPr>
        <w:b/>
        <w:bCs/>
        <w:i/>
        <w:iCs/>
        <w:color w:val="C45911" w:themeColor="accent2" w:themeShade="BF"/>
      </w:rPr>
      <w:fldChar w:fldCharType="separate"/>
    </w:r>
    <w:r w:rsidRPr="00216586">
      <w:rPr>
        <w:b/>
        <w:bCs/>
        <w:i/>
        <w:iCs/>
        <w:color w:val="C45911" w:themeColor="accent2" w:themeShade="BF"/>
      </w:rPr>
      <w:t>1</w:t>
    </w:r>
    <w:r w:rsidRPr="00216586">
      <w:rPr>
        <w:b/>
        <w:bCs/>
        <w:i/>
        <w:iCs/>
        <w:color w:val="C45911" w:themeColor="accent2" w:themeShade="BF"/>
      </w:rPr>
      <w:fldChar w:fldCharType="end"/>
    </w:r>
    <w:r w:rsidRPr="00216586">
      <w:rPr>
        <w:i/>
        <w:iCs/>
        <w:color w:val="C45911" w:themeColor="accent2" w:themeShade="BF"/>
      </w:rPr>
      <w:t xml:space="preserve"> of </w:t>
    </w:r>
    <w:r w:rsidRPr="00216586">
      <w:rPr>
        <w:b/>
        <w:bCs/>
        <w:i/>
        <w:iCs/>
        <w:color w:val="C45911" w:themeColor="accent2" w:themeShade="BF"/>
      </w:rPr>
      <w:fldChar w:fldCharType="begin"/>
    </w:r>
    <w:r w:rsidRPr="00216586">
      <w:rPr>
        <w:b/>
        <w:bCs/>
        <w:i/>
        <w:iCs/>
        <w:color w:val="C45911" w:themeColor="accent2" w:themeShade="BF"/>
      </w:rPr>
      <w:instrText>NUMPAGES  \* Arabic  \* MERGEFORMAT</w:instrText>
    </w:r>
    <w:r w:rsidRPr="00216586">
      <w:rPr>
        <w:b/>
        <w:bCs/>
        <w:i/>
        <w:iCs/>
        <w:color w:val="C45911" w:themeColor="accent2" w:themeShade="BF"/>
      </w:rPr>
      <w:fldChar w:fldCharType="separate"/>
    </w:r>
    <w:r w:rsidRPr="00216586">
      <w:rPr>
        <w:b/>
        <w:bCs/>
        <w:i/>
        <w:iCs/>
        <w:color w:val="C45911" w:themeColor="accent2" w:themeShade="BF"/>
      </w:rPr>
      <w:t>2</w:t>
    </w:r>
    <w:r w:rsidRPr="00216586">
      <w:rPr>
        <w:b/>
        <w:bCs/>
        <w:i/>
        <w:iCs/>
        <w:color w:val="C45911" w:themeColor="accent2" w:themeShade="BF"/>
      </w:rPr>
      <w:fldChar w:fldCharType="end"/>
    </w:r>
    <w:r>
      <w:rPr>
        <w:b/>
        <w:bCs/>
        <w:i/>
        <w:iCs/>
        <w:color w:val="C45911" w:themeColor="accent2" w:themeShade="BF"/>
      </w:rPr>
      <w:t xml:space="preserve"> </w:t>
    </w:r>
    <w:r w:rsidRPr="00216586">
      <w:rPr>
        <w:i/>
        <w:iCs/>
        <w:color w:val="C45911" w:themeColor="accent2" w:themeShade="BF"/>
      </w:rPr>
      <w:t>- v 23/11/22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A8E8E" w14:textId="77777777" w:rsidR="00153F5F" w:rsidRDefault="00153F5F" w:rsidP="007C5AC3">
      <w:pPr>
        <w:spacing w:after="0" w:line="240" w:lineRule="auto"/>
      </w:pPr>
      <w:r>
        <w:separator/>
      </w:r>
    </w:p>
  </w:footnote>
  <w:footnote w:type="continuationSeparator" w:id="0">
    <w:p w14:paraId="5D64E499" w14:textId="77777777" w:rsidR="00153F5F" w:rsidRDefault="00153F5F" w:rsidP="007C5AC3">
      <w:pPr>
        <w:spacing w:after="0" w:line="240" w:lineRule="auto"/>
      </w:pPr>
      <w:r>
        <w:continuationSeparator/>
      </w:r>
    </w:p>
  </w:footnote>
  <w:footnote w:id="1">
    <w:p w14:paraId="77C2ED1F" w14:textId="77777777" w:rsidR="00E5268A" w:rsidRPr="00211F8F" w:rsidRDefault="00E5268A" w:rsidP="007C5AC3">
      <w:pPr>
        <w:pStyle w:val="EndNote"/>
      </w:pPr>
      <w:r>
        <w:rPr>
          <w:rStyle w:val="Appelnotedebasdep"/>
        </w:rPr>
        <w:footnoteRef/>
      </w:r>
      <w:r>
        <w:t xml:space="preserve"> </w:t>
      </w:r>
      <w:r w:rsidRPr="00211F8F">
        <w:t xml:space="preserve">Based on: Van Dijk, </w:t>
      </w:r>
      <w:proofErr w:type="spellStart"/>
      <w:r w:rsidRPr="00211F8F">
        <w:t>Lesschen</w:t>
      </w:r>
      <w:proofErr w:type="spellEnd"/>
      <w:r w:rsidRPr="00211F8F">
        <w:t xml:space="preserve"> &amp; </w:t>
      </w:r>
      <w:proofErr w:type="spellStart"/>
      <w:r w:rsidRPr="00211F8F">
        <w:t>Oenema</w:t>
      </w:r>
      <w:proofErr w:type="spellEnd"/>
      <w:r w:rsidRPr="00211F8F">
        <w:t xml:space="preserve"> "Phosphorus flows and balances of the European Union Member States.“ Sci Tot Env 2016 </w:t>
      </w:r>
      <w:hyperlink r:id="rId1" w:history="1">
        <w:r w:rsidRPr="004973E2">
          <w:rPr>
            <w:rStyle w:val="Lienhypertexte"/>
          </w:rPr>
          <w:t>https://doi.org/10.1016/j.scitotenv.2015.08.048</w:t>
        </w:r>
      </w:hyperlink>
      <w:r>
        <w:t xml:space="preserve"> </w:t>
      </w:r>
    </w:p>
  </w:footnote>
  <w:footnote w:id="2">
    <w:p w14:paraId="5DDC3933" w14:textId="77777777" w:rsidR="00E5268A" w:rsidRPr="00632C42" w:rsidRDefault="00E5268A" w:rsidP="00E5268A">
      <w:pPr>
        <w:pStyle w:val="EndNote"/>
      </w:pPr>
      <w:r>
        <w:rPr>
          <w:rStyle w:val="Appelnotedebasdep"/>
        </w:rPr>
        <w:footnoteRef/>
      </w:r>
      <w:r>
        <w:t xml:space="preserve"> </w:t>
      </w:r>
      <w:r w:rsidRPr="00632C42">
        <w:t xml:space="preserve">Swiss ordinance on limitation and elimination of waste 4th December 2015 in French (OLED) </w:t>
      </w:r>
      <w:hyperlink r:id="rId2" w:history="1">
        <w:r w:rsidRPr="00DA01D9">
          <w:rPr>
            <w:rStyle w:val="Lienhypertexte"/>
          </w:rPr>
          <w:t>www.admin.ch/opc/fr/official-compilation/2015/5699.pdf</w:t>
        </w:r>
      </w:hyperlink>
      <w:r>
        <w:t xml:space="preserve"> </w:t>
      </w:r>
      <w:r w:rsidRPr="00632C42">
        <w:t>and in German (</w:t>
      </w:r>
      <w:proofErr w:type="spellStart"/>
      <w:r w:rsidRPr="00632C42">
        <w:t>Abfallverordnung</w:t>
      </w:r>
      <w:proofErr w:type="spellEnd"/>
      <w:r w:rsidRPr="00632C42">
        <w:t xml:space="preserve">, VVEA) </w:t>
      </w:r>
      <w:hyperlink r:id="rId3" w:history="1">
        <w:r w:rsidRPr="00DA01D9">
          <w:rPr>
            <w:rStyle w:val="Lienhypertexte"/>
          </w:rPr>
          <w:t>www.admin.ch/opc/de/official-compilation/2015/5699.pdf</w:t>
        </w:r>
      </w:hyperlink>
      <w:r>
        <w:t xml:space="preserve"> </w:t>
      </w:r>
    </w:p>
  </w:footnote>
  <w:footnote w:id="3">
    <w:p w14:paraId="18616AFB" w14:textId="37353989" w:rsidR="003B5CD6" w:rsidRPr="003B5CD6" w:rsidRDefault="003B5CD6" w:rsidP="003B5CD6">
      <w:pPr>
        <w:pStyle w:val="EndNote"/>
      </w:pPr>
      <w:r>
        <w:rPr>
          <w:rStyle w:val="Appelnotedebasdep"/>
        </w:rPr>
        <w:footnoteRef/>
      </w:r>
      <w:r>
        <w:t xml:space="preserve"> degree of </w:t>
      </w:r>
      <w:r w:rsidRPr="00E3585E">
        <w:t>scientific</w:t>
      </w:r>
      <w:r>
        <w:t xml:space="preserve"> certainty that the specified process will achieve the required reduction of levels of the most resistant of the specified pathogens.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2674" w14:textId="164D0C53" w:rsidR="00216586" w:rsidRDefault="00000000">
    <w:pPr>
      <w:pStyle w:val="En-tte"/>
    </w:pPr>
    <w:r>
      <w:rPr>
        <w:noProof/>
      </w:rPr>
      <w:pict w14:anchorId="36FCAB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61141" o:spid="_x0000_s1033" type="#_x0000_t136" style="position:absolute;margin-left:0;margin-top:0;width:399.7pt;height:239.8pt;rotation:315;z-index:-251655168;mso-position-horizontal:center;mso-position-horizontal-relative:margin;mso-position-vertical:center;mso-position-vertical-relative:margin" o:allowincell="f" fillcolor="#ed7d31 [3205]"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3FD0" w14:textId="4057204E" w:rsidR="00216586" w:rsidRDefault="00000000">
    <w:pPr>
      <w:pStyle w:val="En-tte"/>
    </w:pPr>
    <w:r>
      <w:rPr>
        <w:noProof/>
      </w:rPr>
      <w:pict w14:anchorId="53F38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61142" o:spid="_x0000_s1034" type="#_x0000_t136" style="position:absolute;margin-left:0;margin-top:0;width:399.7pt;height:239.8pt;rotation:315;z-index:-251653120;mso-position-horizontal:center;mso-position-horizontal-relative:margin;mso-position-vertical:center;mso-position-vertical-relative:margin" o:allowincell="f" fillcolor="#ed7d31 [3205]"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E8BE" w14:textId="32372FCB" w:rsidR="00216586" w:rsidRDefault="00000000">
    <w:pPr>
      <w:pStyle w:val="En-tte"/>
    </w:pPr>
    <w:r>
      <w:rPr>
        <w:noProof/>
      </w:rPr>
      <w:pict w14:anchorId="6382F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61140" o:spid="_x0000_s1032" type="#_x0000_t136" style="position:absolute;margin-left:0;margin-top:0;width:399.7pt;height:239.8pt;rotation:315;z-index:-251657216;mso-position-horizontal:center;mso-position-horizontal-relative:margin;mso-position-vertical:center;mso-position-vertical-relative:margin" o:allowincell="f" fillcolor="#ed7d31 [3205]"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D661E"/>
    <w:multiLevelType w:val="hybridMultilevel"/>
    <w:tmpl w:val="A2CE40C0"/>
    <w:lvl w:ilvl="0" w:tplc="D576B9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2351A4"/>
    <w:multiLevelType w:val="hybridMultilevel"/>
    <w:tmpl w:val="F3EE9854"/>
    <w:lvl w:ilvl="0" w:tplc="750E3540">
      <w:start w:val="1"/>
      <w:numFmt w:val="decimal"/>
      <w:pStyle w:val="Titr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6776157">
    <w:abstractNumId w:val="1"/>
  </w:num>
  <w:num w:numId="2" w16cid:durableId="1697847029">
    <w:abstractNumId w:val="0"/>
  </w:num>
  <w:num w:numId="3" w16cid:durableId="964116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5D"/>
    <w:rsid w:val="000A09E7"/>
    <w:rsid w:val="000B1D21"/>
    <w:rsid w:val="000F31ED"/>
    <w:rsid w:val="00140DEE"/>
    <w:rsid w:val="00153F5F"/>
    <w:rsid w:val="001B0F03"/>
    <w:rsid w:val="0020335D"/>
    <w:rsid w:val="00216586"/>
    <w:rsid w:val="00245667"/>
    <w:rsid w:val="00292632"/>
    <w:rsid w:val="003807F3"/>
    <w:rsid w:val="003B5CD6"/>
    <w:rsid w:val="0045494C"/>
    <w:rsid w:val="00456FFE"/>
    <w:rsid w:val="00595745"/>
    <w:rsid w:val="0068161E"/>
    <w:rsid w:val="00685AE5"/>
    <w:rsid w:val="007C5AC3"/>
    <w:rsid w:val="008653AB"/>
    <w:rsid w:val="008E3904"/>
    <w:rsid w:val="00920EAC"/>
    <w:rsid w:val="00950A1B"/>
    <w:rsid w:val="00972E25"/>
    <w:rsid w:val="009F34E7"/>
    <w:rsid w:val="00A04083"/>
    <w:rsid w:val="00A46237"/>
    <w:rsid w:val="00AE5DB3"/>
    <w:rsid w:val="00C23E56"/>
    <w:rsid w:val="00C3079D"/>
    <w:rsid w:val="00C44270"/>
    <w:rsid w:val="00C74B4F"/>
    <w:rsid w:val="00C95AF7"/>
    <w:rsid w:val="00CF7CE8"/>
    <w:rsid w:val="00D07118"/>
    <w:rsid w:val="00D33BB8"/>
    <w:rsid w:val="00D5083F"/>
    <w:rsid w:val="00D65804"/>
    <w:rsid w:val="00D70C85"/>
    <w:rsid w:val="00DD36FB"/>
    <w:rsid w:val="00DD6A5C"/>
    <w:rsid w:val="00E0125D"/>
    <w:rsid w:val="00E5268A"/>
    <w:rsid w:val="00E67589"/>
    <w:rsid w:val="00E67ABC"/>
    <w:rsid w:val="00F013CC"/>
    <w:rsid w:val="00F7224F"/>
    <w:rsid w:val="00F870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79117"/>
  <w15:chartTrackingRefBased/>
  <w15:docId w15:val="{A03557C5-6951-4A09-AF48-DAEA7559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ED"/>
    <w:rPr>
      <w:sz w:val="20"/>
    </w:rPr>
  </w:style>
  <w:style w:type="paragraph" w:styleId="Titre1">
    <w:name w:val="heading 1"/>
    <w:basedOn w:val="Paragraphedeliste"/>
    <w:next w:val="Normal"/>
    <w:link w:val="Titre1Car"/>
    <w:uiPriority w:val="9"/>
    <w:qFormat/>
    <w:rsid w:val="000F31ED"/>
    <w:pPr>
      <w:numPr>
        <w:numId w:val="1"/>
      </w:numPr>
      <w:outlineLvl w:val="0"/>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125D"/>
    <w:pPr>
      <w:ind w:left="720"/>
      <w:contextualSpacing/>
    </w:pPr>
  </w:style>
  <w:style w:type="character" w:styleId="Lienhypertexte">
    <w:name w:val="Hyperlink"/>
    <w:basedOn w:val="Policepardfaut"/>
    <w:uiPriority w:val="99"/>
    <w:unhideWhenUsed/>
    <w:rsid w:val="007C5AC3"/>
    <w:rPr>
      <w:color w:val="0563C1" w:themeColor="hyperlink"/>
      <w:u w:val="single"/>
    </w:rPr>
  </w:style>
  <w:style w:type="character" w:styleId="Appeldenotedefin">
    <w:name w:val="endnote reference"/>
    <w:basedOn w:val="Policepardfaut"/>
    <w:uiPriority w:val="99"/>
    <w:semiHidden/>
    <w:unhideWhenUsed/>
    <w:rsid w:val="007C5AC3"/>
    <w:rPr>
      <w:vertAlign w:val="superscript"/>
    </w:rPr>
  </w:style>
  <w:style w:type="paragraph" w:customStyle="1" w:styleId="EndNote">
    <w:name w:val="EndNote"/>
    <w:basedOn w:val="Notedefin"/>
    <w:qFormat/>
    <w:rsid w:val="00E5268A"/>
    <w:pPr>
      <w:spacing w:after="40"/>
      <w:ind w:left="142" w:hanging="142"/>
    </w:pPr>
    <w:rPr>
      <w:rFonts w:ascii="Arial" w:hAnsi="Arial"/>
      <w:i/>
      <w:sz w:val="16"/>
    </w:rPr>
  </w:style>
  <w:style w:type="paragraph" w:styleId="Notedefin">
    <w:name w:val="endnote text"/>
    <w:basedOn w:val="Normal"/>
    <w:link w:val="NotedefinCar"/>
    <w:uiPriority w:val="99"/>
    <w:semiHidden/>
    <w:unhideWhenUsed/>
    <w:rsid w:val="007C5AC3"/>
    <w:pPr>
      <w:spacing w:after="0" w:line="240" w:lineRule="auto"/>
    </w:pPr>
    <w:rPr>
      <w:szCs w:val="20"/>
    </w:rPr>
  </w:style>
  <w:style w:type="character" w:customStyle="1" w:styleId="NotedefinCar">
    <w:name w:val="Note de fin Car"/>
    <w:basedOn w:val="Policepardfaut"/>
    <w:link w:val="Notedefin"/>
    <w:uiPriority w:val="99"/>
    <w:semiHidden/>
    <w:rsid w:val="007C5AC3"/>
    <w:rPr>
      <w:sz w:val="20"/>
      <w:szCs w:val="20"/>
    </w:rPr>
  </w:style>
  <w:style w:type="paragraph" w:styleId="Notedebasdepage">
    <w:name w:val="footnote text"/>
    <w:basedOn w:val="Normal"/>
    <w:link w:val="NotedebasdepageCar"/>
    <w:uiPriority w:val="99"/>
    <w:semiHidden/>
    <w:unhideWhenUsed/>
    <w:rsid w:val="00E5268A"/>
    <w:pPr>
      <w:spacing w:after="0" w:line="240" w:lineRule="auto"/>
    </w:pPr>
    <w:rPr>
      <w:szCs w:val="20"/>
    </w:rPr>
  </w:style>
  <w:style w:type="character" w:customStyle="1" w:styleId="NotedebasdepageCar">
    <w:name w:val="Note de bas de page Car"/>
    <w:basedOn w:val="Policepardfaut"/>
    <w:link w:val="Notedebasdepage"/>
    <w:uiPriority w:val="99"/>
    <w:semiHidden/>
    <w:rsid w:val="00E5268A"/>
    <w:rPr>
      <w:sz w:val="20"/>
      <w:szCs w:val="20"/>
    </w:rPr>
  </w:style>
  <w:style w:type="character" w:styleId="Appelnotedebasdep">
    <w:name w:val="footnote reference"/>
    <w:basedOn w:val="Policepardfaut"/>
    <w:uiPriority w:val="99"/>
    <w:semiHidden/>
    <w:unhideWhenUsed/>
    <w:rsid w:val="00E5268A"/>
    <w:rPr>
      <w:vertAlign w:val="superscript"/>
    </w:rPr>
  </w:style>
  <w:style w:type="character" w:customStyle="1" w:styleId="Titre1Car">
    <w:name w:val="Titre 1 Car"/>
    <w:basedOn w:val="Policepardfaut"/>
    <w:link w:val="Titre1"/>
    <w:uiPriority w:val="9"/>
    <w:rsid w:val="000F31ED"/>
    <w:rPr>
      <w:b/>
      <w:bCs/>
      <w:u w:val="single"/>
    </w:rPr>
  </w:style>
  <w:style w:type="paragraph" w:styleId="En-tte">
    <w:name w:val="header"/>
    <w:basedOn w:val="Normal"/>
    <w:link w:val="En-tteCar"/>
    <w:uiPriority w:val="99"/>
    <w:unhideWhenUsed/>
    <w:rsid w:val="00216586"/>
    <w:pPr>
      <w:tabs>
        <w:tab w:val="center" w:pos="4536"/>
        <w:tab w:val="right" w:pos="9072"/>
      </w:tabs>
      <w:spacing w:after="0" w:line="240" w:lineRule="auto"/>
    </w:pPr>
  </w:style>
  <w:style w:type="character" w:customStyle="1" w:styleId="En-tteCar">
    <w:name w:val="En-tête Car"/>
    <w:basedOn w:val="Policepardfaut"/>
    <w:link w:val="En-tte"/>
    <w:uiPriority w:val="99"/>
    <w:rsid w:val="00216586"/>
    <w:rPr>
      <w:sz w:val="20"/>
    </w:rPr>
  </w:style>
  <w:style w:type="paragraph" w:styleId="Pieddepage">
    <w:name w:val="footer"/>
    <w:basedOn w:val="Normal"/>
    <w:link w:val="PieddepageCar"/>
    <w:uiPriority w:val="99"/>
    <w:unhideWhenUsed/>
    <w:rsid w:val="002165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586"/>
    <w:rPr>
      <w:sz w:val="20"/>
    </w:rPr>
  </w:style>
  <w:style w:type="character" w:styleId="Lienhypertextesuivivisit">
    <w:name w:val="FollowedHyperlink"/>
    <w:basedOn w:val="Policepardfaut"/>
    <w:uiPriority w:val="99"/>
    <w:semiHidden/>
    <w:unhideWhenUsed/>
    <w:rsid w:val="00D07118"/>
    <w:rPr>
      <w:color w:val="954F72" w:themeColor="followedHyperlink"/>
      <w:u w:val="single"/>
    </w:rPr>
  </w:style>
  <w:style w:type="character" w:styleId="Mentionnonrsolue">
    <w:name w:val="Unresolved Mention"/>
    <w:basedOn w:val="Policepardfaut"/>
    <w:uiPriority w:val="99"/>
    <w:semiHidden/>
    <w:unhideWhenUsed/>
    <w:rsid w:val="00D0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3478-Fertilisers-list-of-animal-by-products-to-be-used-without-further-official-controls-update-_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rcabc.europa.eu/ui/group/36ec94c7-575b-44dc-a6e9-4ace02907f2f/library/47826cda-67f7-4ad8-bf47-ff08df28fa9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dmin.ch/opc/de/official-compilation/2015/5699.pdf" TargetMode="External"/><Relationship Id="rId2" Type="http://schemas.openxmlformats.org/officeDocument/2006/relationships/hyperlink" Target="http://www.admin.ch/opc/fr/official-compilation/2015/5699.pdf" TargetMode="External"/><Relationship Id="rId1" Type="http://schemas.openxmlformats.org/officeDocument/2006/relationships/hyperlink" Target="https://doi.org/10.1016/j.scitotenv.2015.08.0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A349-5410-4B6D-B598-8924B6E2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1443</Words>
  <Characters>8226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Thornton</dc:creator>
  <cp:keywords/>
  <dc:description/>
  <cp:lastModifiedBy>Chris Thornton</cp:lastModifiedBy>
  <cp:revision>10</cp:revision>
  <dcterms:created xsi:type="dcterms:W3CDTF">2022-11-23T06:54:00Z</dcterms:created>
  <dcterms:modified xsi:type="dcterms:W3CDTF">2022-11-23T16:40:00Z</dcterms:modified>
</cp:coreProperties>
</file>